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842D5" w14:textId="504333FD" w:rsidR="00797539" w:rsidRPr="00381145" w:rsidRDefault="00797539" w:rsidP="0079753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F16303">
        <w:rPr>
          <w:rFonts w:cs="Arial"/>
          <w:b/>
          <w:noProof/>
          <w:sz w:val="24"/>
          <w:szCs w:val="24"/>
        </w:rPr>
        <w:t>3GPP TSG-RAN WG2 Meeting #</w:t>
      </w:r>
      <w:r w:rsidRPr="00A03313">
        <w:rPr>
          <w:rFonts w:cs="Arial"/>
          <w:b/>
          <w:sz w:val="24"/>
          <w:szCs w:val="24"/>
          <w:lang w:eastAsia="zh-CN"/>
        </w:rPr>
        <w:t>1</w:t>
      </w:r>
      <w:r>
        <w:rPr>
          <w:rFonts w:cs="Arial"/>
          <w:b/>
          <w:sz w:val="24"/>
          <w:szCs w:val="24"/>
          <w:lang w:eastAsia="zh-CN"/>
        </w:rPr>
        <w:t>27bis</w:t>
      </w:r>
      <w:r w:rsidRPr="00381145">
        <w:rPr>
          <w:rFonts w:cs="Arial"/>
          <w:b/>
          <w:noProof/>
          <w:sz w:val="24"/>
          <w:szCs w:val="24"/>
          <w:lang w:eastAsia="zh-CN"/>
        </w:rPr>
        <w:tab/>
      </w:r>
      <w:bookmarkStart w:id="0" w:name="_GoBack"/>
      <w:bookmarkEnd w:id="0"/>
      <w:r w:rsidR="00097693" w:rsidRPr="00097693">
        <w:rPr>
          <w:rFonts w:cs="Arial"/>
          <w:b/>
          <w:i/>
          <w:noProof/>
          <w:sz w:val="24"/>
          <w:szCs w:val="24"/>
          <w:lang w:eastAsia="zh-CN"/>
        </w:rPr>
        <w:t>R2-2408339</w:t>
      </w:r>
    </w:p>
    <w:p w14:paraId="2DD89C3A" w14:textId="77777777" w:rsidR="00797539" w:rsidRDefault="00797539" w:rsidP="0079753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76697B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Hefei, China, </w:t>
      </w:r>
      <w:r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14 </w:t>
      </w:r>
      <w:r w:rsidRPr="005C20F7">
        <w:rPr>
          <w:rFonts w:ascii="Arial" w:eastAsia="宋体" w:hAnsi="Arial" w:cs="Arial"/>
          <w:b/>
          <w:noProof/>
          <w:sz w:val="24"/>
          <w:szCs w:val="24"/>
          <w:lang w:eastAsia="zh-CN"/>
        </w:rPr>
        <w:t>- 18 Oct, 2024</w:t>
      </w:r>
    </w:p>
    <w:p w14:paraId="731053D2" w14:textId="77777777" w:rsidR="00797539" w:rsidRDefault="00797539" w:rsidP="00AD67C5">
      <w:pPr>
        <w:pStyle w:val="3GPPHeader"/>
        <w:spacing w:after="120"/>
        <w:rPr>
          <w:rFonts w:ascii="Arial" w:eastAsia="MS Mincho" w:hAnsi="Arial" w:cs="Arial"/>
          <w:szCs w:val="24"/>
          <w:lang w:eastAsia="en-US"/>
        </w:rPr>
      </w:pPr>
    </w:p>
    <w:p w14:paraId="003F3EF7" w14:textId="5BA20E6D" w:rsidR="00955170" w:rsidRPr="009E7E56" w:rsidRDefault="00955170" w:rsidP="00AD67C5">
      <w:pPr>
        <w:pStyle w:val="3GPPHeader"/>
        <w:spacing w:after="120"/>
        <w:rPr>
          <w:rFonts w:ascii="Arial" w:eastAsia="MS Mincho" w:hAnsi="Arial" w:cs="Arial"/>
          <w:b w:val="0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 w:rsidRPr="009E7E56">
        <w:rPr>
          <w:rFonts w:ascii="Arial" w:eastAsia="MS Mincho" w:hAnsi="Arial" w:cs="Arial"/>
          <w:b w:val="0"/>
          <w:szCs w:val="24"/>
          <w:lang w:eastAsia="en-US"/>
        </w:rPr>
        <w:t>8</w:t>
      </w:r>
      <w:r w:rsidR="005F009C" w:rsidRPr="009E7E56">
        <w:rPr>
          <w:rFonts w:ascii="Arial" w:eastAsia="MS Mincho" w:hAnsi="Arial" w:cs="Arial"/>
          <w:b w:val="0"/>
          <w:szCs w:val="24"/>
          <w:lang w:eastAsia="en-US"/>
        </w:rPr>
        <w:t>.</w:t>
      </w:r>
      <w:r w:rsidR="004F4857" w:rsidRPr="009E7E56">
        <w:rPr>
          <w:rFonts w:ascii="Arial" w:eastAsia="MS Mincho" w:hAnsi="Arial" w:cs="Arial"/>
          <w:b w:val="0"/>
          <w:szCs w:val="24"/>
          <w:lang w:eastAsia="en-US"/>
        </w:rPr>
        <w:t>8.5</w:t>
      </w:r>
    </w:p>
    <w:p w14:paraId="155F32CB" w14:textId="14BBA933" w:rsidR="00955170" w:rsidRPr="009E7E56" w:rsidRDefault="00955170" w:rsidP="00AD67C5">
      <w:pPr>
        <w:pStyle w:val="3GPPHeader"/>
        <w:spacing w:after="120"/>
        <w:rPr>
          <w:rFonts w:ascii="Arial" w:eastAsia="MS Mincho" w:hAnsi="Arial" w:cs="Arial"/>
          <w:b w:val="0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Pr="009E7E56">
        <w:rPr>
          <w:rFonts w:ascii="Arial" w:eastAsia="MS Mincho" w:hAnsi="Arial" w:cs="Arial"/>
          <w:b w:val="0"/>
          <w:szCs w:val="24"/>
          <w:lang w:eastAsia="en-US"/>
        </w:rPr>
        <w:t>Huawei, HiSilicon</w:t>
      </w:r>
      <w:r w:rsidR="001F0A36">
        <w:rPr>
          <w:rFonts w:ascii="Arial" w:eastAsia="MS Mincho" w:hAnsi="Arial" w:cs="Arial"/>
          <w:b w:val="0"/>
          <w:szCs w:val="24"/>
          <w:lang w:eastAsia="en-US"/>
        </w:rPr>
        <w:t>, Turkcell</w:t>
      </w:r>
    </w:p>
    <w:p w14:paraId="002C5DE8" w14:textId="0E3EC156" w:rsidR="006D529F" w:rsidRPr="002328E6" w:rsidRDefault="00955170" w:rsidP="00AD67C5">
      <w:pPr>
        <w:pStyle w:val="3GPPHeader"/>
        <w:spacing w:after="120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9B48A5" w:rsidRPr="009E7E56">
        <w:rPr>
          <w:rFonts w:ascii="Arial" w:eastAsia="MS Mincho" w:hAnsi="Arial" w:cs="Arial"/>
          <w:b w:val="0"/>
          <w:szCs w:val="24"/>
          <w:lang w:eastAsia="en-US"/>
        </w:rPr>
        <w:t>Discussion on the RA-SDT in</w:t>
      </w:r>
      <w:r w:rsidR="004F4857" w:rsidRPr="009E7E56">
        <w:rPr>
          <w:rFonts w:ascii="Arial" w:eastAsia="MS Mincho" w:hAnsi="Arial" w:cs="Arial"/>
          <w:b w:val="0"/>
          <w:szCs w:val="24"/>
          <w:lang w:eastAsia="en-US"/>
        </w:rPr>
        <w:t xml:space="preserve"> Regenerative payload</w:t>
      </w:r>
      <w:r w:rsidR="005F009C">
        <w:rPr>
          <w:rFonts w:ascii="Arial" w:eastAsia="MS Mincho" w:hAnsi="Arial" w:cs="Arial"/>
          <w:szCs w:val="24"/>
          <w:lang w:eastAsia="en-US"/>
        </w:rPr>
        <w:t xml:space="preserve"> </w:t>
      </w:r>
    </w:p>
    <w:p w14:paraId="411B4C0D" w14:textId="3298535C" w:rsidR="00955170" w:rsidRPr="009E7E56" w:rsidRDefault="00955170" w:rsidP="00AD67C5">
      <w:pPr>
        <w:tabs>
          <w:tab w:val="left" w:pos="1985"/>
        </w:tabs>
        <w:spacing w:after="120"/>
        <w:rPr>
          <w:rFonts w:ascii="Arial" w:eastAsia="MS Mincho" w:hAnsi="Arial" w:cs="Arial"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9E7E56">
        <w:rPr>
          <w:rFonts w:ascii="Arial" w:eastAsia="MS Mincho" w:hAnsi="Arial" w:cs="Arial"/>
          <w:sz w:val="24"/>
          <w:szCs w:val="24"/>
          <w:lang w:eastAsia="en-US"/>
        </w:rPr>
        <w:t>Discussion</w:t>
      </w:r>
      <w:r w:rsidR="00A9568E" w:rsidRPr="009E7E56">
        <w:rPr>
          <w:rFonts w:ascii="Arial" w:eastAsia="MS Mincho" w:hAnsi="Arial" w:cs="Arial"/>
          <w:sz w:val="24"/>
          <w:szCs w:val="24"/>
          <w:lang w:eastAsia="en-US"/>
        </w:rPr>
        <w:t xml:space="preserve"> and Decision</w:t>
      </w:r>
    </w:p>
    <w:p w14:paraId="102DEFE8" w14:textId="6C2D324D" w:rsidR="00D92FCA" w:rsidRPr="00D92FCA" w:rsidRDefault="00D92FCA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178A2EF2" w14:textId="147CF298" w:rsidR="00F541BA" w:rsidRDefault="00124775" w:rsidP="00F541BA">
      <w:pPr>
        <w:spacing w:before="100" w:beforeAutospacing="1" w:after="100" w:afterAutospacing="1"/>
      </w:pPr>
      <w:bookmarkStart w:id="1" w:name="_Toc499559238"/>
      <w:bookmarkStart w:id="2" w:name="_Toc61387172"/>
      <w:bookmarkStart w:id="3" w:name="_Toc147158671"/>
      <w:r>
        <w:t xml:space="preserve">In </w:t>
      </w:r>
      <w:r w:rsidR="00F541BA">
        <w:t>the last meeting the following agreements were achieved for</w:t>
      </w:r>
      <w:r>
        <w:t xml:space="preserve"> the s</w:t>
      </w:r>
      <w:r w:rsidR="00F541BA">
        <w:t>upport of regenerative payload</w:t>
      </w:r>
      <w:r w:rsidR="00585206">
        <w:t xml:space="preserve"> in NR NTN</w:t>
      </w:r>
      <w:r w:rsidR="00191DA1">
        <w:t xml:space="preserve"> </w:t>
      </w:r>
      <w:r w:rsidR="00191DA1">
        <w:fldChar w:fldCharType="begin"/>
      </w:r>
      <w:r w:rsidR="00191DA1">
        <w:instrText xml:space="preserve"> REF _Ref173428202 \r \h </w:instrText>
      </w:r>
      <w:r w:rsidR="00191DA1">
        <w:fldChar w:fldCharType="separate"/>
      </w:r>
      <w:r w:rsidR="00191DA1">
        <w:t>[1]</w:t>
      </w:r>
      <w:r w:rsidR="00191DA1">
        <w:fldChar w:fldCharType="end"/>
      </w:r>
      <w:r w:rsidR="00F541BA">
        <w:t xml:space="preserve">. </w:t>
      </w:r>
    </w:p>
    <w:p w14:paraId="25666C87" w14:textId="77777777" w:rsidR="009A6C79" w:rsidRDefault="009A6C79" w:rsidP="009B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655E36E1" w14:textId="77777777" w:rsidR="009A6C79" w:rsidRDefault="009A6C79" w:rsidP="009B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6A6C4CA6" w14:textId="77777777" w:rsidR="009A6C79" w:rsidRDefault="009A6C79" w:rsidP="009B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57C56042" w14:textId="77777777" w:rsidR="009A6C79" w:rsidRDefault="009A6C79" w:rsidP="009B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3.</w:t>
      </w:r>
      <w:r>
        <w:tab/>
        <w:t>RAN2 understanding is that for regenerative payload existing RACH-less HO could be applied directly, no further Uu enhancement is needed.</w:t>
      </w:r>
    </w:p>
    <w:p w14:paraId="4A0AA9A7" w14:textId="77777777" w:rsidR="009A6C79" w:rsidRPr="00951CA8" w:rsidRDefault="009A6C79" w:rsidP="009B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4.</w:t>
      </w:r>
      <w:r>
        <w:tab/>
        <w:t>We do not optimize UE power saving for SDT procedure in regenerative payload architecture</w:t>
      </w:r>
    </w:p>
    <w:p w14:paraId="161B582B" w14:textId="77EBFB4E" w:rsidR="009A6C79" w:rsidRDefault="00A4276B" w:rsidP="00F541BA">
      <w:pPr>
        <w:spacing w:before="100" w:beforeAutospacing="1" w:after="100" w:afterAutospacing="1"/>
      </w:pPr>
      <w:r>
        <w:t>And t</w:t>
      </w:r>
      <w:r w:rsidR="009A6C79">
        <w:t xml:space="preserve">he discussion of SDT </w:t>
      </w:r>
      <w:r w:rsidR="009B48A5">
        <w:t>in regenerative architecture is still expected to be open in this meeting.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813" w14:paraId="75054122" w14:textId="77777777" w:rsidTr="00614813">
        <w:tc>
          <w:tcPr>
            <w:tcW w:w="9629" w:type="dxa"/>
          </w:tcPr>
          <w:p w14:paraId="7A0B4A1A" w14:textId="77777777" w:rsidR="00614813" w:rsidRDefault="00614813" w:rsidP="00614813">
            <w:pPr>
              <w:pStyle w:val="Comments"/>
            </w:pPr>
            <w:r w:rsidRPr="00710B62">
              <w:t>Proposal 4</w:t>
            </w:r>
            <w:r w:rsidRPr="00710B62">
              <w:tab/>
              <w:t xml:space="preserve">After early contention resolution, i.e., after sending HARQ feedback of the message containing only contention resolution MAC CE, a UE waits </w:t>
            </w:r>
            <w:r w:rsidRPr="001945A4">
              <w:rPr>
                <w:highlight w:val="yellow"/>
              </w:rPr>
              <w:t>UE-gNB RTT</w:t>
            </w:r>
            <w:r w:rsidRPr="00710B62">
              <w:t xml:space="preserve"> to monitor the PDCCH for further downlink message.</w:t>
            </w:r>
          </w:p>
          <w:p w14:paraId="1E26C69A" w14:textId="77777777" w:rsidR="00614813" w:rsidRDefault="00614813" w:rsidP="00614813">
            <w:pPr>
              <w:pStyle w:val="Doc-text2"/>
            </w:pPr>
            <w:r>
              <w:t>-</w:t>
            </w:r>
            <w:r>
              <w:tab/>
              <w:t>Apple wonders if this is a NW implementation issue</w:t>
            </w:r>
          </w:p>
          <w:p w14:paraId="0EF20061" w14:textId="13F41342" w:rsidR="00614813" w:rsidRDefault="00614813" w:rsidP="00614813">
            <w:pPr>
              <w:pStyle w:val="Agreement"/>
              <w:numPr>
                <w:ilvl w:val="0"/>
                <w:numId w:val="19"/>
              </w:numPr>
              <w:tabs>
                <w:tab w:val="clear" w:pos="2665"/>
                <w:tab w:val="left" w:pos="1619"/>
              </w:tabs>
              <w:ind w:left="1619"/>
            </w:pPr>
            <w:r>
              <w:t>Come back in the next meeting</w:t>
            </w:r>
          </w:p>
        </w:tc>
      </w:tr>
    </w:tbl>
    <w:p w14:paraId="50C8F44C" w14:textId="03CB8150" w:rsidR="004F4857" w:rsidRDefault="00F541BA" w:rsidP="00F541BA">
      <w:pPr>
        <w:spacing w:before="100" w:beforeAutospacing="1" w:after="100" w:afterAutospacing="1"/>
      </w:pPr>
      <w:r>
        <w:t>In this paper w</w:t>
      </w:r>
      <w:r w:rsidR="008E4CE9">
        <w:t xml:space="preserve">e provide our </w:t>
      </w:r>
      <w:r w:rsidR="009B48A5">
        <w:t xml:space="preserve">further </w:t>
      </w:r>
      <w:r w:rsidR="008E4CE9">
        <w:t xml:space="preserve">views on </w:t>
      </w:r>
      <w:r>
        <w:t>the</w:t>
      </w:r>
      <w:r w:rsidR="009B48A5">
        <w:t xml:space="preserve"> SDT in regenerative architecture</w:t>
      </w:r>
      <w:r w:rsidR="004F4857">
        <w:t>.</w:t>
      </w:r>
    </w:p>
    <w:p w14:paraId="43B4CC6F" w14:textId="565F65F9" w:rsidR="00D92FCA" w:rsidRDefault="00D92FCA" w:rsidP="00134C48">
      <w:pPr>
        <w:keepNext/>
        <w:keepLines/>
        <w:pBdr>
          <w:top w:val="single" w:sz="12" w:space="3" w:color="auto"/>
        </w:pBdr>
        <w:spacing w:before="18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1"/>
      <w:bookmarkEnd w:id="2"/>
      <w:bookmarkEnd w:id="3"/>
    </w:p>
    <w:p w14:paraId="520840C0" w14:textId="14CE6693" w:rsidR="00DA1B1C" w:rsidRDefault="00460192" w:rsidP="00AD67C5">
      <w:bookmarkStart w:id="4" w:name="_Toc499559239"/>
      <w:bookmarkStart w:id="5" w:name="_Toc61387173"/>
      <w:bookmarkStart w:id="6" w:name="_Toc147158672"/>
      <w:r>
        <w:t>In previous meetings,</w:t>
      </w:r>
      <w:r w:rsidR="009B48A5">
        <w:t xml:space="preserve"> we explain</w:t>
      </w:r>
      <w:r>
        <w:t>ed</w:t>
      </w:r>
      <w:r w:rsidR="009B48A5">
        <w:t xml:space="preserve"> our concern </w:t>
      </w:r>
      <w:r w:rsidR="00B1492D">
        <w:t>for the scheme that UE</w:t>
      </w:r>
      <w:r w:rsidR="00DA1B1C">
        <w:t xml:space="preserve"> considers the feeder link RTT for the PDCCH monitoring after sending the contention resolution MAC CE HARQ feedback</w:t>
      </w:r>
      <w:r w:rsidR="00B1492D">
        <w:t xml:space="preserve">: </w:t>
      </w:r>
      <w:r w:rsidR="009B48A5" w:rsidRPr="009B48A5">
        <w:t xml:space="preserve">it is unclear how to set the offset </w:t>
      </w:r>
      <w:r w:rsidR="009B48A5">
        <w:t xml:space="preserve">value </w:t>
      </w:r>
      <w:r w:rsidR="009B48A5" w:rsidRPr="009B48A5">
        <w:t>between MAC CE and Msg4</w:t>
      </w:r>
      <w:r w:rsidR="009B48A5">
        <w:t xml:space="preserve">. </w:t>
      </w:r>
      <w:r w:rsidR="000C4A22">
        <w:t>And t</w:t>
      </w:r>
      <w:r w:rsidR="00DA1B1C">
        <w:t>he uncertainty of feeder link RTT not only lead to the difficulty for setting the PDCCH waiting time, but also brings impact to the SDT failure detection timer.</w:t>
      </w:r>
    </w:p>
    <w:p w14:paraId="776BFDAA" w14:textId="77777777" w:rsidR="000C4A22" w:rsidRDefault="00DA1B1C" w:rsidP="00AD67C5">
      <w:r>
        <w:t xml:space="preserve">But according to the agreement for the last meeting, the proposal that “UE waits UE-gNB RTT to monitor the PDCCH” is to be continued </w:t>
      </w:r>
      <w:r w:rsidR="00E05445">
        <w:t xml:space="preserve">discussed </w:t>
      </w:r>
      <w:r>
        <w:t xml:space="preserve">in this meeting. </w:t>
      </w:r>
      <w:r w:rsidR="00E05445">
        <w:t>It seems the feeder link RTT is not expected to be considered any more.</w:t>
      </w:r>
    </w:p>
    <w:p w14:paraId="797D8E0F" w14:textId="5230AC76" w:rsidR="00E05445" w:rsidRDefault="000C4A22" w:rsidP="00AD67C5">
      <w:r>
        <w:t>When it comes to the UE-gNB RTT</w:t>
      </w:r>
      <w:r w:rsidR="00F414F8">
        <w:t xml:space="preserve"> (service link RTT only)</w:t>
      </w:r>
      <w:r>
        <w:t>, t</w:t>
      </w:r>
      <w:r w:rsidR="00E05445">
        <w:t>he case for the regenerative architecture is nothing different from that for the transparent architecture</w:t>
      </w:r>
      <w:r w:rsidR="00F414F8">
        <w:t>, and we doubt any enhancement specific to regenerative payload is needed</w:t>
      </w:r>
      <w:r w:rsidR="00E05445">
        <w:t xml:space="preserve">. </w:t>
      </w:r>
      <w:r w:rsidR="00F414F8">
        <w:t>Besides, the current RA-SDT procedure does not restrict that the NW can only schedule subsequent transmission after HARQ ACK for CR MAC CE is received</w:t>
      </w:r>
      <w:r w:rsidR="0035277E">
        <w:t>, it is up to NW implementation</w:t>
      </w:r>
      <w:r w:rsidR="00F414F8">
        <w:t xml:space="preserve">. </w:t>
      </w:r>
    </w:p>
    <w:p w14:paraId="5041A38A" w14:textId="30550036" w:rsidR="007611D5" w:rsidRPr="007611D5" w:rsidRDefault="007611D5" w:rsidP="00AD67C5">
      <w:pPr>
        <w:rPr>
          <w:b/>
          <w:lang w:val="x-none"/>
        </w:rPr>
      </w:pPr>
      <w:r w:rsidRPr="007611D5">
        <w:rPr>
          <w:b/>
        </w:rPr>
        <w:t xml:space="preserve">Proposal: </w:t>
      </w:r>
      <w:r w:rsidR="00460192">
        <w:rPr>
          <w:b/>
        </w:rPr>
        <w:t xml:space="preserve">For the issue of UE waiting for </w:t>
      </w:r>
      <w:r w:rsidR="000C4A22">
        <w:rPr>
          <w:b/>
        </w:rPr>
        <w:t>a</w:t>
      </w:r>
      <w:r w:rsidR="00460192">
        <w:rPr>
          <w:b/>
        </w:rPr>
        <w:t xml:space="preserve"> UE-gNB RTT </w:t>
      </w:r>
      <w:r w:rsidR="00F414F8">
        <w:rPr>
          <w:b/>
        </w:rPr>
        <w:t xml:space="preserve">before </w:t>
      </w:r>
      <w:r w:rsidR="00460192">
        <w:rPr>
          <w:b/>
        </w:rPr>
        <w:t>monitor</w:t>
      </w:r>
      <w:r w:rsidR="00F414F8">
        <w:rPr>
          <w:b/>
        </w:rPr>
        <w:t>ing</w:t>
      </w:r>
      <w:r w:rsidR="00460192">
        <w:rPr>
          <w:b/>
        </w:rPr>
        <w:t xml:space="preserve"> the PDCCH in regenerative payload</w:t>
      </w:r>
      <w:r w:rsidR="00841241">
        <w:rPr>
          <w:b/>
        </w:rPr>
        <w:t xml:space="preserve"> architecture</w:t>
      </w:r>
      <w:r w:rsidR="00460192">
        <w:rPr>
          <w:b/>
        </w:rPr>
        <w:t xml:space="preserve">, </w:t>
      </w:r>
      <w:r w:rsidR="00E05445">
        <w:rPr>
          <w:b/>
        </w:rPr>
        <w:t xml:space="preserve">nothing </w:t>
      </w:r>
      <w:r w:rsidR="00460192">
        <w:rPr>
          <w:b/>
        </w:rPr>
        <w:t xml:space="preserve">is </w:t>
      </w:r>
      <w:r w:rsidR="00E05445">
        <w:rPr>
          <w:b/>
        </w:rPr>
        <w:t xml:space="preserve">different from </w:t>
      </w:r>
      <w:r w:rsidR="00841241">
        <w:rPr>
          <w:b/>
        </w:rPr>
        <w:t xml:space="preserve">that for </w:t>
      </w:r>
      <w:r w:rsidR="00E05445">
        <w:rPr>
          <w:b/>
        </w:rPr>
        <w:t>the transparent payload architecture.</w:t>
      </w:r>
    </w:p>
    <w:bookmarkEnd w:id="4"/>
    <w:bookmarkEnd w:id="5"/>
    <w:bookmarkEnd w:id="6"/>
    <w:p w14:paraId="088961FA" w14:textId="284A82FC" w:rsidR="003C7F86" w:rsidRPr="00B139C2" w:rsidRDefault="00B139C2" w:rsidP="00134C48">
      <w:pPr>
        <w:keepNext/>
        <w:keepLines/>
        <w:pBdr>
          <w:top w:val="single" w:sz="12" w:space="3" w:color="auto"/>
        </w:pBdr>
        <w:spacing w:before="18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0A625A08" w:rsidR="00405D72" w:rsidRDefault="00405D72" w:rsidP="00AD67C5">
      <w:r w:rsidRPr="00E30475">
        <w:t>This contribution</w:t>
      </w:r>
      <w:r w:rsidR="000C4A22">
        <w:t xml:space="preserve"> </w:t>
      </w:r>
      <w:r w:rsidR="00391536">
        <w:t>analyses</w:t>
      </w:r>
      <w:r w:rsidR="000C4A22">
        <w:t xml:space="preserve"> the RA-SDT in regenerative payload</w:t>
      </w:r>
      <w:r w:rsidR="00B777C5">
        <w:t>,</w:t>
      </w:r>
      <w:r w:rsidR="00946B09">
        <w:t xml:space="preserve"> and </w:t>
      </w:r>
      <w:r w:rsidR="00B777C5">
        <w:t>proposes the following:</w:t>
      </w:r>
    </w:p>
    <w:p w14:paraId="4A0AFC94" w14:textId="260F7F54" w:rsidR="00841241" w:rsidRPr="007611D5" w:rsidRDefault="00841241" w:rsidP="00841241">
      <w:pPr>
        <w:rPr>
          <w:b/>
          <w:lang w:val="x-none"/>
        </w:rPr>
      </w:pPr>
      <w:r w:rsidRPr="007611D5">
        <w:rPr>
          <w:b/>
        </w:rPr>
        <w:lastRenderedPageBreak/>
        <w:t xml:space="preserve">Proposal: </w:t>
      </w:r>
      <w:r>
        <w:rPr>
          <w:b/>
        </w:rPr>
        <w:t xml:space="preserve">For the issue of UE waiting for a UE-gNB RTT </w:t>
      </w:r>
      <w:r w:rsidR="00940CDA">
        <w:rPr>
          <w:b/>
        </w:rPr>
        <w:t xml:space="preserve">before </w:t>
      </w:r>
      <w:r>
        <w:rPr>
          <w:b/>
        </w:rPr>
        <w:t>monitor</w:t>
      </w:r>
      <w:r w:rsidR="00940CDA">
        <w:rPr>
          <w:b/>
        </w:rPr>
        <w:t>ing</w:t>
      </w:r>
      <w:r>
        <w:rPr>
          <w:b/>
        </w:rPr>
        <w:t xml:space="preserve"> the PDCCH in regenerative payload architecture, nothing is different from that for the transparent payload architecture.</w:t>
      </w:r>
    </w:p>
    <w:p w14:paraId="0452CE50" w14:textId="48339E58" w:rsidR="002E2D7B" w:rsidRPr="00B139C2" w:rsidRDefault="002E2D7B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References</w:t>
      </w:r>
    </w:p>
    <w:p w14:paraId="4F232EED" w14:textId="426A4E3F" w:rsidR="00266EDC" w:rsidRPr="000C4A22" w:rsidRDefault="00191DA1" w:rsidP="000C4A22">
      <w:pPr>
        <w:pStyle w:val="af8"/>
        <w:numPr>
          <w:ilvl w:val="0"/>
          <w:numId w:val="35"/>
        </w:numPr>
        <w:rPr>
          <w:rFonts w:ascii="Times New Roman" w:hAnsi="Times New Roman"/>
          <w:sz w:val="20"/>
          <w:lang w:val="en-US" w:eastAsia="en-GB"/>
        </w:rPr>
      </w:pPr>
      <w:bookmarkStart w:id="7" w:name="_Ref173428202"/>
      <w:bookmarkStart w:id="8" w:name="_Ref165366991"/>
      <w:r w:rsidRPr="00191DA1">
        <w:rPr>
          <w:rFonts w:ascii="Times New Roman" w:hAnsi="Times New Roman"/>
          <w:sz w:val="20"/>
          <w:lang w:val="en-US" w:eastAsia="en-GB"/>
        </w:rPr>
        <w:t>R2-240</w:t>
      </w:r>
      <w:r w:rsidR="000C4A22">
        <w:rPr>
          <w:rFonts w:ascii="Times New Roman" w:hAnsi="Times New Roman"/>
          <w:sz w:val="20"/>
          <w:lang w:val="en-US" w:eastAsia="en-GB"/>
        </w:rPr>
        <w:t>7573</w:t>
      </w:r>
      <w:r w:rsidRPr="00191DA1">
        <w:rPr>
          <w:rFonts w:ascii="Times New Roman" w:hAnsi="Times New Roman"/>
          <w:sz w:val="20"/>
          <w:lang w:val="en-US" w:eastAsia="en-GB"/>
        </w:rPr>
        <w:t>, Report from Break-out session on NR-NTN and IoT-NTN, Session C</w:t>
      </w:r>
      <w:r w:rsidR="000C4A22">
        <w:rPr>
          <w:rFonts w:ascii="Times New Roman" w:hAnsi="Times New Roman"/>
          <w:sz w:val="20"/>
          <w:lang w:val="en-US" w:eastAsia="en-GB"/>
        </w:rPr>
        <w:t>hair (ZTE Corporation), RAN2 127</w:t>
      </w:r>
      <w:r w:rsidRPr="00191DA1">
        <w:rPr>
          <w:rFonts w:ascii="Times New Roman" w:hAnsi="Times New Roman"/>
          <w:sz w:val="20"/>
          <w:lang w:val="en-US" w:eastAsia="en-GB"/>
        </w:rPr>
        <w:t>.</w:t>
      </w:r>
      <w:bookmarkEnd w:id="7"/>
      <w:bookmarkEnd w:id="8"/>
    </w:p>
    <w:sectPr w:rsidR="00266EDC" w:rsidRPr="000C4A22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B56B" w16cex:dateUtc="2024-05-09T18:49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28197" w14:textId="77777777" w:rsidR="00FD7956" w:rsidRDefault="00FD7956" w:rsidP="00796430">
      <w:r>
        <w:separator/>
      </w:r>
    </w:p>
  </w:endnote>
  <w:endnote w:type="continuationSeparator" w:id="0">
    <w:p w14:paraId="2F0FECA0" w14:textId="77777777" w:rsidR="00FD7956" w:rsidRDefault="00FD795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5685B" w14:textId="77777777" w:rsidR="00FD7956" w:rsidRDefault="00FD7956" w:rsidP="00796430">
      <w:r>
        <w:separator/>
      </w:r>
    </w:p>
  </w:footnote>
  <w:footnote w:type="continuationSeparator" w:id="0">
    <w:p w14:paraId="50AE27A5" w14:textId="77777777" w:rsidR="00FD7956" w:rsidRDefault="00FD795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0910C5"/>
    <w:multiLevelType w:val="hybridMultilevel"/>
    <w:tmpl w:val="F72621B0"/>
    <w:lvl w:ilvl="0" w:tplc="5D444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34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3"/>
  </w:num>
  <w:num w:numId="5">
    <w:abstractNumId w:val="25"/>
  </w:num>
  <w:num w:numId="6">
    <w:abstractNumId w:val="14"/>
  </w:num>
  <w:num w:numId="7">
    <w:abstractNumId w:val="5"/>
  </w:num>
  <w:num w:numId="8">
    <w:abstractNumId w:val="22"/>
  </w:num>
  <w:num w:numId="9">
    <w:abstractNumId w:val="24"/>
    <w:lvlOverride w:ilvl="0">
      <w:startOverride w:val="1"/>
    </w:lvlOverride>
  </w:num>
  <w:num w:numId="10">
    <w:abstractNumId w:val="3"/>
  </w:num>
  <w:num w:numId="11">
    <w:abstractNumId w:val="20"/>
  </w:num>
  <w:num w:numId="12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8"/>
  </w:num>
  <w:num w:numId="15">
    <w:abstractNumId w:val="17"/>
  </w:num>
  <w:num w:numId="16">
    <w:abstractNumId w:val="29"/>
  </w:num>
  <w:num w:numId="17">
    <w:abstractNumId w:val="12"/>
  </w:num>
  <w:num w:numId="18">
    <w:abstractNumId w:val="2"/>
  </w:num>
  <w:num w:numId="19">
    <w:abstractNumId w:val="33"/>
  </w:num>
  <w:num w:numId="20">
    <w:abstractNumId w:val="31"/>
  </w:num>
  <w:num w:numId="21">
    <w:abstractNumId w:val="30"/>
  </w:num>
  <w:num w:numId="22">
    <w:abstractNumId w:val="26"/>
  </w:num>
  <w:num w:numId="23">
    <w:abstractNumId w:val="16"/>
  </w:num>
  <w:num w:numId="24">
    <w:abstractNumId w:val="4"/>
  </w:num>
  <w:num w:numId="25">
    <w:abstractNumId w:val="34"/>
  </w:num>
  <w:num w:numId="26">
    <w:abstractNumId w:val="32"/>
  </w:num>
  <w:num w:numId="27">
    <w:abstractNumId w:val="7"/>
  </w:num>
  <w:num w:numId="28">
    <w:abstractNumId w:val="6"/>
  </w:num>
  <w:num w:numId="29">
    <w:abstractNumId w:val="15"/>
  </w:num>
  <w:num w:numId="30">
    <w:abstractNumId w:val="10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8"/>
  </w:num>
  <w:num w:numId="33">
    <w:abstractNumId w:val="11"/>
  </w:num>
  <w:num w:numId="34">
    <w:abstractNumId w:val="19"/>
  </w:num>
  <w:num w:numId="35">
    <w:abstractNumId w:val="9"/>
  </w:num>
  <w:num w:numId="36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198"/>
    <w:rsid w:val="00001224"/>
    <w:rsid w:val="000013E0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199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E42"/>
    <w:rsid w:val="000512FE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E5E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06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693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A22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1DAB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AD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6FE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775"/>
    <w:rsid w:val="00124AEF"/>
    <w:rsid w:val="00124E86"/>
    <w:rsid w:val="00124EA3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4C48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0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56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E80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DA1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5A4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8F0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5A89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0A3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094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8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0FC3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3AA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7B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3FAD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000"/>
    <w:rsid w:val="00340630"/>
    <w:rsid w:val="00340974"/>
    <w:rsid w:val="00340B19"/>
    <w:rsid w:val="00340BC7"/>
    <w:rsid w:val="00340C39"/>
    <w:rsid w:val="00340EB2"/>
    <w:rsid w:val="00340FDA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7E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661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094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536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A9D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0D94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8C3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192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1E3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5C4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23D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17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16F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530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982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206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CD6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940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DB4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13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10"/>
    <w:rsid w:val="00622ED3"/>
    <w:rsid w:val="00622FD0"/>
    <w:rsid w:val="00623015"/>
    <w:rsid w:val="0062367B"/>
    <w:rsid w:val="006236BF"/>
    <w:rsid w:val="0062380A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AFE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A09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1E3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35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550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7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488"/>
    <w:rsid w:val="00796536"/>
    <w:rsid w:val="00796CA4"/>
    <w:rsid w:val="00797539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653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942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A15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3F4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CCC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241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2F25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024"/>
    <w:rsid w:val="00881315"/>
    <w:rsid w:val="008816AB"/>
    <w:rsid w:val="00881B83"/>
    <w:rsid w:val="008821D7"/>
    <w:rsid w:val="00882544"/>
    <w:rsid w:val="00882995"/>
    <w:rsid w:val="00882DA7"/>
    <w:rsid w:val="00883089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4CE9"/>
    <w:rsid w:val="008E4EA7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892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93C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7A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CD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B09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8EB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6D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493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C79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9C0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8A5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E7E56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2B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12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76B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56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8E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7C5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1E6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92D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0FC4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B66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7C5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EF2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148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7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7F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5B0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73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1B8C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B1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BC7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7DE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445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EFC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CC6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0F3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F53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5DF4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3F03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9E3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CCA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4F8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1BA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64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729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7B2"/>
    <w:rsid w:val="00FD6C0C"/>
    <w:rsid w:val="00FD6D13"/>
    <w:rsid w:val="00FD6F67"/>
    <w:rsid w:val="00FD7051"/>
    <w:rsid w:val="00FD7172"/>
    <w:rsid w:val="00FD767E"/>
    <w:rsid w:val="00FD7827"/>
    <w:rsid w:val="00FD7956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4E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uiPriority w:val="99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uiPriority w:val="99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a0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宋体"/>
      <w:b/>
      <w:lang w:eastAsia="en-US"/>
    </w:rPr>
  </w:style>
  <w:style w:type="character" w:customStyle="1" w:styleId="ProposallistChar">
    <w:name w:val="Proposal list Char"/>
    <w:basedOn w:val="a1"/>
    <w:link w:val="Proposallist"/>
    <w:rsid w:val="009E1F9F"/>
    <w:rPr>
      <w:rFonts w:ascii="Times New Roman" w:eastAsia="宋体" w:hAnsi="Times New Roman"/>
      <w:b/>
      <w:lang w:val="en-GB" w:eastAsia="en-US"/>
    </w:rPr>
  </w:style>
  <w:style w:type="paragraph" w:customStyle="1" w:styleId="FirstChange">
    <w:name w:val="First Change"/>
    <w:basedOn w:val="a0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F4C5D-3145-42A5-B471-C8F66968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239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zhushichao (A)</dc:creator>
  <cp:lastModifiedBy>Huawei, HiSilicon</cp:lastModifiedBy>
  <cp:revision>29</cp:revision>
  <cp:lastPrinted>2016-09-19T04:11:00Z</cp:lastPrinted>
  <dcterms:created xsi:type="dcterms:W3CDTF">2024-08-01T06:16:00Z</dcterms:created>
  <dcterms:modified xsi:type="dcterms:W3CDTF">2024-10-01T10:10:00Z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(3)M5yCU1j4TcKQH2EsJpDhiOtxOKNy38HyrlBvcYO7leusfAt345vQNSJHSEUIDFHdGIpcq+4g
7Tgsm3Y9eru7wcvEExp+cBkiqcd7Mr0gMlBIz+jAVzKad5Qy3sUmKIHMNxAwwUJzIsgurgcM
4gNDFgTJR5vhoFLmm4SPRb5tY1Fiqj+674wQGc80StPjyMpskkJbkOBkp7/CZ1lhzESPTTGZ
E7vnt6EnTNVPD6CHIi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93WxHLq8vUKoiJu1INCc70TiNrb5Vjwj6I220RDy+no2fBApd3Vyht
UC3TlEb6FaRTAeP5wCkFhgp8J9K6W19oxtfIMVHtcYoKuzxlh72zRBn3ng/pg8YpXyoNXfDA
0eykwecmB+paozPa8w1EcJ942zay9J0NRds6QuIRFNCXbfy+m/r8kFgGQFJb63R8DgkNfqdF
K6119r5qudSJOsaQdnT/quYprOUDFe+rIYHU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bw==</vt:lpwstr>
  </property>
  <property fmtid="{D5CDD505-2E9C-101B-9397-08002B2CF9AE}" pid="29" name="KeyAssetLabel_HuaWei">
    <vt:lpwstr>{Ys1yDUuaPCijmwFsQb9Sry0Px6zIGZ}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1727777417</vt:lpwstr>
  </property>
</Properties>
</file>